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Texto compilado a partir das Resoluções nº 87/2009 e 117/2010, e da Emenda nº 1 à Resolução nº 66/2009. </w:t>
      </w:r>
    </w:p>
    <w:p w:rsidR="00EE47AF" w:rsidRPr="009A213C" w:rsidRDefault="00EE47AF" w:rsidP="00EE47AF">
      <w:pPr>
        <w:rPr>
          <w:rFonts w:cs="Arial"/>
          <w:szCs w:val="13"/>
        </w:rPr>
      </w:pPr>
    </w:p>
    <w:p w:rsidR="00EE47AF" w:rsidRPr="009A213C" w:rsidRDefault="00EE47AF" w:rsidP="00EE47AF">
      <w:pPr>
        <w:rPr>
          <w:rFonts w:cs="Arial"/>
          <w:b/>
          <w:szCs w:val="13"/>
        </w:rPr>
      </w:pPr>
      <w:r w:rsidRPr="009A213C">
        <w:rPr>
          <w:rFonts w:cs="Arial"/>
          <w:b/>
          <w:szCs w:val="13"/>
        </w:rPr>
        <w:t xml:space="preserve">RESOLUÇÃO Nº 66, DE 27 DE JANEIRO DE </w:t>
      </w:r>
      <w:proofErr w:type="gramStart"/>
      <w:r w:rsidRPr="009A213C">
        <w:rPr>
          <w:rFonts w:cs="Arial"/>
          <w:b/>
          <w:szCs w:val="13"/>
        </w:rPr>
        <w:t>2009</w:t>
      </w:r>
      <w:proofErr w:type="gramEnd"/>
      <w:r w:rsidRPr="009A213C">
        <w:rPr>
          <w:rFonts w:cs="Arial"/>
          <w:b/>
          <w:szCs w:val="13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Cria mecanismo de controle estatístico e disciplina o acompanhamento, pelos juízes e Tribunais, dos procedimentos relacionados à decretação e ao controle dos casos de prisão provisória. </w:t>
      </w:r>
    </w:p>
    <w:p w:rsidR="00EE47AF" w:rsidRPr="009A213C" w:rsidRDefault="00EE47AF" w:rsidP="00EE47AF">
      <w:pPr>
        <w:rPr>
          <w:rFonts w:cs="Arial"/>
          <w:szCs w:val="13"/>
        </w:rPr>
      </w:pP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szCs w:val="13"/>
        </w:rPr>
        <w:t>O PRESIDENTE DO CONSELHO NACIONAL DE JUSTIÇA</w:t>
      </w:r>
      <w:r w:rsidRPr="009A213C">
        <w:rPr>
          <w:rFonts w:cs="Arial"/>
          <w:szCs w:val="13"/>
        </w:rPr>
        <w:t xml:space="preserve">, no uso de suas atribuições, </w:t>
      </w:r>
    </w:p>
    <w:p w:rsidR="00EE47AF" w:rsidRPr="009A213C" w:rsidRDefault="00EE47AF" w:rsidP="00EE47AF">
      <w:pPr>
        <w:rPr>
          <w:rFonts w:cs="Arial"/>
          <w:szCs w:val="13"/>
        </w:rPr>
      </w:pP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o disposto no artigo 5º, LXII, LXIII, LXIV, LXV, LXVI e LXXVIII, da Constituição Federal e nos artigos 282, 306, 309, 310, parágrafo único, 311, 312, 321, 322, 323 e 350 do Código de Processo Penal;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o crescimento significativo de presos provisórios, conforme dados estatísticos do Departamento Penitenciário Nacional </w:t>
      </w:r>
      <w:r w:rsidRPr="009A213C">
        <w:rPr>
          <w:rFonts w:cs="Arial"/>
          <w:szCs w:val="13"/>
        </w:rPr>
        <w:noBreakHyphen/>
        <w:t xml:space="preserve"> DEPEN, entre os anos de 2005 e 2008;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que os dados recolhidos pelo Conselho Nacional de Justiça nos mutirões carcerários indicam a necessidade de aperfeiçoamento dos mecanismos de acompanhamento das prisões provisórias;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que o magistrado, ao receber o auto de prisão em flagrante, deve apreciar seus termos, verificando rigorosamente o respeito aos requisitos legais da prisão, decidir sobre a concessão da liberdade provisória, com ou sem fiança, relaxar ou manter a prisão quando presentes os pressupostos de prisão preventiva, sempre por decisão fundamentada e observada a legislação pertinente;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que o magistrado deve zelar pelo exato e imediato cumprimento do disposto no artigo 5º, LXII, da Constituição Federal, e do disposto no artigo 306, § 1º, do Código de Processo Penal, especialmente quanto à comunicação à família do preso e à Defensoria Pública;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a preocupação da magistratura com as situações de prisão provisória com excesso de prazo ou a manutenção da privação da liberdade após o cumprimento da sua finalidade;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a importância da preservação da independência do magistrado, no reexame periódico da situação jurídica de presos provisórios, como forma de evitar situações de excesso injustificado de privação da liberdade;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a necessidade de se garantir aos magistrados mecanismos que possibilitem um acompanhamento efetivo das prisões provisórias decretadas.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b/>
          <w:bCs/>
          <w:szCs w:val="13"/>
        </w:rPr>
        <w:t xml:space="preserve">CONSIDERANDO </w:t>
      </w:r>
      <w:r w:rsidRPr="009A213C">
        <w:rPr>
          <w:rFonts w:cs="Arial"/>
          <w:szCs w:val="13"/>
        </w:rPr>
        <w:t xml:space="preserve">o compromisso do CNJ em zelar pelo cumprimento dos princípios constitucionais da duração razoável do processo e da legalidade estrita da prisão. </w:t>
      </w:r>
    </w:p>
    <w:p w:rsidR="00EE47AF" w:rsidRPr="009A213C" w:rsidRDefault="00EE47AF" w:rsidP="00EE47AF">
      <w:pPr>
        <w:rPr>
          <w:rFonts w:cs="Arial"/>
          <w:szCs w:val="13"/>
        </w:rPr>
      </w:pPr>
    </w:p>
    <w:p w:rsidR="00EE47AF" w:rsidRPr="009A213C" w:rsidRDefault="00EE47AF" w:rsidP="00EE47AF">
      <w:pPr>
        <w:rPr>
          <w:rFonts w:cs="Arial"/>
          <w:b/>
          <w:szCs w:val="13"/>
        </w:rPr>
      </w:pPr>
      <w:r w:rsidRPr="009A213C">
        <w:rPr>
          <w:rFonts w:cs="Arial"/>
          <w:b/>
          <w:szCs w:val="13"/>
        </w:rPr>
        <w:t xml:space="preserve">RESOLVE: </w:t>
      </w:r>
    </w:p>
    <w:p w:rsidR="00EE47AF" w:rsidRPr="009A213C" w:rsidRDefault="00EE47AF" w:rsidP="00EE47AF">
      <w:pPr>
        <w:rPr>
          <w:rFonts w:cs="Arial"/>
          <w:b/>
          <w:szCs w:val="13"/>
        </w:rPr>
      </w:pP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Art. 1° Ao receber o auto de prisão em flagrante, o juiz deverá, imediatamente, ouvido o Ministério Público nas hipóteses legais, fundamentar sobre: (</w:t>
      </w:r>
      <w:r w:rsidRPr="009A213C">
        <w:rPr>
          <w:rFonts w:cs="Arial"/>
          <w:szCs w:val="13"/>
          <w:u w:val="single"/>
        </w:rPr>
        <w:t>Redação dada pela Resolução nº 87, de 15 de setembro de 2009</w:t>
      </w:r>
      <w:proofErr w:type="gramStart"/>
      <w:r w:rsidRPr="009A213C">
        <w:rPr>
          <w:rFonts w:cs="Arial"/>
          <w:szCs w:val="13"/>
          <w:u w:val="single"/>
        </w:rPr>
        <w:t>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I </w:t>
      </w:r>
      <w:r w:rsidRPr="009A213C">
        <w:rPr>
          <w:rFonts w:cs="Arial"/>
          <w:szCs w:val="13"/>
        </w:rPr>
        <w:noBreakHyphen/>
        <w:t xml:space="preserve"> a concessão de liberdade provisória, com ou sem fiança, quando a lei admitir;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II </w:t>
      </w:r>
      <w:r w:rsidRPr="009A213C">
        <w:rPr>
          <w:rFonts w:cs="Arial"/>
          <w:szCs w:val="13"/>
        </w:rPr>
        <w:noBreakHyphen/>
        <w:t xml:space="preserve"> a manutenção da prisão, quando presentes os pressupostos da prisão preventiva, sempre por decisão fundamentada e observada a legislação pertinente; </w:t>
      </w:r>
      <w:proofErr w:type="gramStart"/>
      <w:r w:rsidRPr="009A213C">
        <w:rPr>
          <w:rFonts w:cs="Arial"/>
          <w:szCs w:val="13"/>
        </w:rPr>
        <w:t>ou</w:t>
      </w:r>
      <w:proofErr w:type="gramEnd"/>
      <w:r w:rsidRPr="009A213C">
        <w:rPr>
          <w:rFonts w:cs="Arial"/>
          <w:szCs w:val="13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III </w:t>
      </w:r>
      <w:r w:rsidRPr="009A213C">
        <w:rPr>
          <w:rFonts w:cs="Arial"/>
          <w:szCs w:val="13"/>
        </w:rPr>
        <w:noBreakHyphen/>
        <w:t xml:space="preserve"> o relaxamento da prisão ilegal.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§ 1º Em até quarenta e oito horas da comunicação da prisão, não sendo juntados documentos e certidões que o juiz entender imprescindíveis à decisão e, não havendo advogado constituído, será nomeado um dativo ou comunicada a Defensoria Pública para que regularize, em prazo que não pode exceder a </w:t>
      </w:r>
      <w:proofErr w:type="gramStart"/>
      <w:r w:rsidRPr="009A213C">
        <w:rPr>
          <w:rFonts w:cs="Arial"/>
          <w:szCs w:val="13"/>
        </w:rPr>
        <w:t>5</w:t>
      </w:r>
      <w:proofErr w:type="gramEnd"/>
      <w:r w:rsidRPr="009A213C">
        <w:rPr>
          <w:rFonts w:cs="Arial"/>
          <w:szCs w:val="13"/>
        </w:rPr>
        <w:t xml:space="preserve"> dias.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§ 2º Quando a certidão e o esclarecimento de eventuais antecedentes estiverem ao alcance do próprio juízo, por meio do sistema informatizado, fica dispensada a juntada e o esclarecimento pela defesa.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§ 3º Em qualquer caso o juiz zelará pelo cumprimento do disposto do artigo 5º, LXII, da Constituição Federal, e do disposto no artigo 306, §1º e § 2º, do Código de Processo Penal, especialmente quanto à comunicação à família do preso e à Defensoria Pública, quanto ao prazo para encaminhamento ao juiz do auto de prisão em flagrante e quanto às demais formalidades da prisão, devendo ser oficiado ao Ministério Público, quando constatadas irregularidades.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§ 4º Aplica</w:t>
      </w:r>
      <w:r w:rsidRPr="009A213C">
        <w:rPr>
          <w:rFonts w:cs="Arial"/>
          <w:szCs w:val="13"/>
        </w:rPr>
        <w:noBreakHyphen/>
        <w:t>se às demais prisões cautelares, no que couber, o disposto no parágrafo anterior, especificamente quanto à comunicação à família e à Defensoria Pública. (</w:t>
      </w:r>
      <w:r w:rsidRPr="009A213C">
        <w:rPr>
          <w:rFonts w:cs="Arial"/>
          <w:szCs w:val="13"/>
          <w:u w:val="single"/>
        </w:rPr>
        <w:t>Incluído pelo Plenário do Conselho Nacional de Justiça, na 102ª Sessão Ordinária, de 06 de abril de 2010, no julgamento do processo Ato Normativo 0002273</w:t>
      </w:r>
      <w:r w:rsidRPr="009A213C">
        <w:rPr>
          <w:rFonts w:cs="Arial"/>
          <w:szCs w:val="13"/>
          <w:u w:val="single"/>
        </w:rPr>
        <w:noBreakHyphen/>
        <w:t>30.2010.2.00.0000</w:t>
      </w:r>
      <w:proofErr w:type="gramStart"/>
      <w:r w:rsidRPr="009A213C">
        <w:rPr>
          <w:rFonts w:cs="Arial"/>
          <w:szCs w:val="13"/>
          <w:u w:val="single"/>
        </w:rPr>
        <w:t>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Art. 2º As varas de inquéritos policiais, as varas com competência criminal e as varas de infância e juventude encaminharão relatório às Corregedorias Gerais de Justiça, com periodicidade mínima trimestral, com demonstração do número das prisões em flagrante, temporárias e preventivas, e de internações, indicando o nome do preso ou internado, o número do processo, a data e a natureza da prisão ou da internação, unidade prisional ou de internação, a data e o conteúdo do último movimento processual. (</w:t>
      </w:r>
      <w:r w:rsidRPr="009A213C">
        <w:rPr>
          <w:rFonts w:cs="Arial"/>
          <w:szCs w:val="13"/>
          <w:u w:val="single"/>
        </w:rPr>
        <w:t>Renumerado pela Resolução nº 87, de 15 de setembro de 2009</w:t>
      </w:r>
      <w:proofErr w:type="gramStart"/>
      <w:r w:rsidRPr="009A213C">
        <w:rPr>
          <w:rFonts w:cs="Arial"/>
          <w:szCs w:val="13"/>
          <w:u w:val="single"/>
        </w:rPr>
        <w:t>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>§ 1º O envio de relatórios por meio físico pode ser dispensado quando for possível obtê</w:t>
      </w:r>
      <w:r w:rsidRPr="009A213C">
        <w:rPr>
          <w:rFonts w:cs="Arial"/>
          <w:szCs w:val="13"/>
        </w:rPr>
        <w:noBreakHyphen/>
        <w:t xml:space="preserve">los automaticamente por meio de sistema informatizado.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§ 2º Os Tribunais devem desenvolver mecanismos, prioritariamente eletrônicos, de auxílio aos magistrados, no controle das prisões e internações sob sua jurisdição.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Art. 2º</w:t>
      </w:r>
      <w:r w:rsidRPr="009A213C">
        <w:rPr>
          <w:rFonts w:cs="Arial"/>
          <w:szCs w:val="13"/>
        </w:rPr>
        <w:noBreakHyphen/>
        <w:t>A A Fica instituído o Cadastro Nacional de Prisões Cautelares e Internações Provisórias. (</w:t>
      </w:r>
      <w:r w:rsidRPr="009A213C">
        <w:rPr>
          <w:rFonts w:cs="Arial"/>
          <w:szCs w:val="13"/>
          <w:u w:val="single"/>
        </w:rPr>
        <w:t xml:space="preserve">Incluído pelo Plenário do Conselho Nacional de Justiça, na 102ª Sessão Ordinária, de 06 de abril de 2010, no </w:t>
      </w:r>
      <w:r w:rsidRPr="009A213C">
        <w:rPr>
          <w:rFonts w:cs="Arial"/>
          <w:szCs w:val="13"/>
          <w:u w:val="single"/>
        </w:rPr>
        <w:lastRenderedPageBreak/>
        <w:t>julgamento do processo Ato Normativo 0002272</w:t>
      </w:r>
      <w:r w:rsidRPr="009A213C">
        <w:rPr>
          <w:rFonts w:cs="Arial"/>
          <w:szCs w:val="13"/>
          <w:u w:val="single"/>
        </w:rPr>
        <w:noBreakHyphen/>
        <w:t>45.2010.2.00.0000</w:t>
      </w:r>
      <w:r w:rsidRPr="009A213C">
        <w:rPr>
          <w:rFonts w:cs="Arial"/>
          <w:szCs w:val="13"/>
          <w:u w:val="single"/>
        </w:rPr>
        <w:noBreakHyphen/>
        <w:t xml:space="preserve">Emenda nº 1) (Vigência suspensa pela Resolução n° 117, de </w:t>
      </w:r>
      <w:proofErr w:type="gramStart"/>
      <w:r w:rsidRPr="009A213C">
        <w:rPr>
          <w:rFonts w:cs="Arial"/>
          <w:szCs w:val="13"/>
          <w:u w:val="single"/>
        </w:rPr>
        <w:t>3</w:t>
      </w:r>
      <w:proofErr w:type="gramEnd"/>
      <w:r w:rsidRPr="009A213C">
        <w:rPr>
          <w:rFonts w:cs="Arial"/>
          <w:szCs w:val="13"/>
          <w:u w:val="single"/>
        </w:rPr>
        <w:t xml:space="preserve"> de agosto de 2010)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>§ 1º Caberá às varas de inquéritos policiais, às varas com competência criminal e às varas de infância e juventude o cadastramento das prisões em flagrante, temporárias e preventivas e das internações temporárias existentes nos processos de sua competência, bem assim de sua prorrogação, encerramento e outras intercorrências. (</w:t>
      </w:r>
      <w:r w:rsidRPr="009A213C">
        <w:rPr>
          <w:rFonts w:cs="Arial"/>
          <w:szCs w:val="13"/>
          <w:u w:val="single"/>
        </w:rPr>
        <w:t>Incluído pelo Plenário do Conselho Nacional de Justiça, na 102ª Sessão Ordinária, de 06 de abril de 2010, no julgamento do processo Ato Normativo 0002272</w:t>
      </w:r>
      <w:r w:rsidRPr="009A213C">
        <w:rPr>
          <w:rFonts w:cs="Arial"/>
          <w:szCs w:val="13"/>
          <w:u w:val="single"/>
        </w:rPr>
        <w:noBreakHyphen/>
        <w:t>45.2010.2.00.0000</w:t>
      </w:r>
      <w:r w:rsidRPr="009A213C">
        <w:rPr>
          <w:rFonts w:cs="Arial"/>
          <w:szCs w:val="13"/>
          <w:u w:val="single"/>
        </w:rPr>
        <w:noBreakHyphen/>
        <w:t xml:space="preserve">Emenda nº </w:t>
      </w:r>
      <w:proofErr w:type="gramStart"/>
      <w:r w:rsidRPr="009A213C">
        <w:rPr>
          <w:rFonts w:cs="Arial"/>
          <w:szCs w:val="13"/>
          <w:u w:val="single"/>
        </w:rPr>
        <w:t>1)</w:t>
      </w:r>
      <w:proofErr w:type="gramEnd"/>
      <w:r w:rsidRPr="009A213C">
        <w:rPr>
          <w:rFonts w:cs="Arial"/>
          <w:szCs w:val="13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§ 2º As prisões cautelares e internações provisórias ocorridas após a publicação desta Resolução deverão ser cadastradas em até 24h após a comunicação. (</w:t>
      </w:r>
      <w:r w:rsidRPr="009A213C">
        <w:rPr>
          <w:rFonts w:cs="Arial"/>
          <w:szCs w:val="13"/>
          <w:u w:val="single"/>
        </w:rPr>
        <w:t>Incluído pelo Plenário do Conselho Nacional de Justiça, na 102ª Sessão Ordinária, de 06 de abril de 2010, no julgamento do processo Ato Normativo 0002272</w:t>
      </w:r>
      <w:r w:rsidRPr="009A213C">
        <w:rPr>
          <w:rFonts w:cs="Arial"/>
          <w:szCs w:val="13"/>
          <w:u w:val="single"/>
        </w:rPr>
        <w:noBreakHyphen/>
        <w:t>45.2010.2.00.0000</w:t>
      </w:r>
      <w:r w:rsidRPr="009A213C">
        <w:rPr>
          <w:rFonts w:cs="Arial"/>
          <w:szCs w:val="13"/>
          <w:u w:val="single"/>
        </w:rPr>
        <w:noBreakHyphen/>
        <w:t xml:space="preserve">Emenda nº </w:t>
      </w:r>
      <w:proofErr w:type="gramStart"/>
      <w:r w:rsidRPr="009A213C">
        <w:rPr>
          <w:rFonts w:cs="Arial"/>
          <w:szCs w:val="13"/>
          <w:u w:val="single"/>
        </w:rPr>
        <w:t>1)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 xml:space="preserve">§ 3º As prisões cautelares e internações provisórias já iniciadas e ainda em curso deverão ser cadastradas no prazo máximo de 180 (cento e oitenta) dias. </w:t>
      </w:r>
      <w:r w:rsidRPr="009A213C">
        <w:rPr>
          <w:rFonts w:cs="Arial"/>
          <w:szCs w:val="13"/>
          <w:u w:val="single"/>
        </w:rPr>
        <w:t>(Incluído pelo Plenário do Conselho Nacional de Justiça, na 102ª Sessão Ordinária, de 06 de abril de 2010, no julgamento do processo Ato Normativo 0002272</w:t>
      </w:r>
      <w:r w:rsidRPr="009A213C">
        <w:rPr>
          <w:rFonts w:cs="Arial"/>
          <w:szCs w:val="13"/>
          <w:u w:val="single"/>
        </w:rPr>
        <w:noBreakHyphen/>
        <w:t>45.2010.2.00.0000</w:t>
      </w:r>
      <w:r w:rsidRPr="009A213C">
        <w:rPr>
          <w:rFonts w:cs="Arial"/>
          <w:szCs w:val="13"/>
          <w:u w:val="single"/>
        </w:rPr>
        <w:noBreakHyphen/>
        <w:t xml:space="preserve">Emenda nº </w:t>
      </w:r>
      <w:proofErr w:type="gramStart"/>
      <w:r w:rsidRPr="009A213C">
        <w:rPr>
          <w:rFonts w:cs="Arial"/>
          <w:szCs w:val="13"/>
          <w:u w:val="single"/>
        </w:rPr>
        <w:t>1)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4º A gerência dos usuários do Sistema do Cadastro Nacional de Prisões Cautelares e Internações Provisórias será realizada pelas Corregedorias dos Tribunais. (</w:t>
      </w:r>
      <w:r w:rsidRPr="009A213C">
        <w:rPr>
          <w:rFonts w:cs="Arial"/>
          <w:szCs w:val="13"/>
          <w:u w:val="single"/>
        </w:rPr>
        <w:t>Incluído pelo Plenário do Conselho Nacional de Justiça, na 102ª Sessão Ordinária, de 06 de abril de 2010, no julgamento do processo Ato Normativo 0002272</w:t>
      </w:r>
      <w:r w:rsidRPr="009A213C">
        <w:rPr>
          <w:rFonts w:cs="Arial"/>
          <w:szCs w:val="13"/>
          <w:u w:val="single"/>
        </w:rPr>
        <w:noBreakHyphen/>
        <w:t>45.2010.2.00.0000</w:t>
      </w:r>
      <w:r w:rsidRPr="009A213C">
        <w:rPr>
          <w:rFonts w:cs="Arial"/>
          <w:szCs w:val="13"/>
          <w:u w:val="single"/>
        </w:rPr>
        <w:noBreakHyphen/>
        <w:t xml:space="preserve">Emenda nº </w:t>
      </w:r>
      <w:proofErr w:type="gramStart"/>
      <w:r w:rsidRPr="009A213C">
        <w:rPr>
          <w:rFonts w:cs="Arial"/>
          <w:szCs w:val="13"/>
          <w:u w:val="single"/>
        </w:rPr>
        <w:t>1)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§ 5º O Tribunal que possuir condições tecnológicas para tanto, poderá realizar o envio das informações diretamente de seu sistema para o Sistema do Cadastro Nacional de Prisões Cautelares e Internações Provisórias, nos mesmos prazos e condições dos incisos 2º e 3º, em modelo a ser definido pelo Departamento de Tecnologia da Informação do Conselho Nacional de Justiça. </w:t>
      </w:r>
      <w:r w:rsidRPr="009A213C">
        <w:rPr>
          <w:rFonts w:cs="Arial"/>
          <w:szCs w:val="13"/>
          <w:u w:val="single"/>
        </w:rPr>
        <w:t>(Incluído pelo Plenário do Conselho Nacional de Justiça, na 102ª Sessão Ordinária, de 06 de abril de 2010, no julgamento do processo Ato Normativo 0002272</w:t>
      </w:r>
      <w:r w:rsidRPr="009A213C">
        <w:rPr>
          <w:rFonts w:cs="Arial"/>
          <w:szCs w:val="13"/>
          <w:u w:val="single"/>
        </w:rPr>
        <w:noBreakHyphen/>
        <w:t>45.2010.2.00.0000</w:t>
      </w:r>
      <w:r w:rsidRPr="009A213C">
        <w:rPr>
          <w:rFonts w:cs="Arial"/>
          <w:szCs w:val="13"/>
          <w:u w:val="single"/>
        </w:rPr>
        <w:noBreakHyphen/>
        <w:t xml:space="preserve">Emenda nº </w:t>
      </w:r>
      <w:proofErr w:type="gramStart"/>
      <w:r w:rsidRPr="009A213C">
        <w:rPr>
          <w:rFonts w:cs="Arial"/>
          <w:szCs w:val="13"/>
          <w:u w:val="single"/>
        </w:rPr>
        <w:t>1)</w:t>
      </w:r>
      <w:proofErr w:type="gramEnd"/>
      <w:r w:rsidRPr="009A213C">
        <w:rPr>
          <w:rFonts w:cs="Arial"/>
          <w:szCs w:val="13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Art. 3º Verificada a paralisação por mais de três meses dos inquéritos e processos, com indiciado ou réu preso, deverá a Secretaria ou o Cartório encaminhar os autos imediatamente à conclusão do juiz para que sejam examinados. </w:t>
      </w:r>
      <w:r w:rsidRPr="009A213C">
        <w:rPr>
          <w:rFonts w:cs="Arial"/>
          <w:szCs w:val="13"/>
          <w:u w:val="single"/>
        </w:rPr>
        <w:t>(Renumerado pela Resolução nº 87, de 15 de setembro de 2009</w:t>
      </w:r>
      <w:proofErr w:type="gramStart"/>
      <w:r w:rsidRPr="009A213C">
        <w:rPr>
          <w:rFonts w:cs="Arial"/>
          <w:szCs w:val="13"/>
        </w:rPr>
        <w:t>)</w:t>
      </w:r>
      <w:proofErr w:type="gramEnd"/>
      <w:r w:rsidRPr="009A213C">
        <w:rPr>
          <w:rFonts w:cs="Arial"/>
          <w:szCs w:val="13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>Art. 4º Aplicam</w:t>
      </w:r>
      <w:r w:rsidRPr="009A213C">
        <w:rPr>
          <w:rFonts w:cs="Arial"/>
          <w:szCs w:val="13"/>
        </w:rPr>
        <w:noBreakHyphen/>
        <w:t>se as disposições dos artigos 1º e 2º aos processos nos Tribunais, devendo, neste caso, o Relator encaminhar o relatório à Presidência do Tribunal respectivo. (</w:t>
      </w:r>
      <w:r w:rsidRPr="009A213C">
        <w:rPr>
          <w:rFonts w:cs="Arial"/>
          <w:szCs w:val="13"/>
          <w:u w:val="single"/>
        </w:rPr>
        <w:t>Renumerado pela Resolução nº 87, de 15 de setembro de 2009</w:t>
      </w:r>
      <w:proofErr w:type="gramStart"/>
      <w:r w:rsidRPr="009A213C">
        <w:rPr>
          <w:rFonts w:cs="Arial"/>
          <w:szCs w:val="13"/>
          <w:u w:val="single"/>
        </w:rPr>
        <w:t>)</w:t>
      </w:r>
      <w:proofErr w:type="gramEnd"/>
      <w:r w:rsidRPr="009A213C">
        <w:rPr>
          <w:rFonts w:cs="Arial"/>
          <w:szCs w:val="13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Art. 5º Após o exame dos inquéritos e processos, com indiciado ou réu preso, paralisados por mais de três meses, o juiz informará à Corregedoria Geral de Justiça e o Relator à Presidência do Tribunal, as providências que foram adotadas, por meio do relatório a que se refere o artigo 2º, justificando a demora na movimentação processual. (</w:t>
      </w:r>
      <w:r w:rsidRPr="009A213C">
        <w:rPr>
          <w:rFonts w:cs="Arial"/>
          <w:szCs w:val="13"/>
          <w:u w:val="single"/>
        </w:rPr>
        <w:t>Renumerado pela Resolução nº 87, de 15 de setembro de 2009</w:t>
      </w:r>
      <w:proofErr w:type="gramStart"/>
      <w:r w:rsidRPr="009A213C">
        <w:rPr>
          <w:rFonts w:cs="Arial"/>
          <w:szCs w:val="13"/>
          <w:u w:val="single"/>
        </w:rPr>
        <w:t>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Art. 6º As Corregedorias Gerais de Justiça deverão coordenar e fiscalizar o cumprimento pelos juízes criminais do disposto nesta Resolução. (</w:t>
      </w:r>
      <w:r w:rsidRPr="009A213C">
        <w:rPr>
          <w:rFonts w:cs="Arial"/>
          <w:szCs w:val="13"/>
          <w:u w:val="single"/>
        </w:rPr>
        <w:t>Renumerado pela Resolução nº 87, de 15 de setembro de 2009</w:t>
      </w:r>
      <w:proofErr w:type="gramStart"/>
      <w:r w:rsidRPr="009A213C">
        <w:rPr>
          <w:rFonts w:cs="Arial"/>
          <w:szCs w:val="13"/>
          <w:u w:val="single"/>
        </w:rPr>
        <w:t>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Parágrafo Único. O controle e fiscalização dos processos nos Tribunais serão realizados pela Corregedoria Nacional de Justiça, nas inspeções e também por intermédio dos relatórios encaminhados às Presidências dos Tribunais respectivos.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>Art. 7º Os Tribunais poderão expedir regulamentos suplementares para elaboração dos relatórios e cumprimento das determinações de que trata esta resolução, podendo estabelecer menor periodicidade e acompanhamentos processuais mais detalhados, tendo em vista as peculiaridades locais. (</w:t>
      </w:r>
      <w:r w:rsidRPr="009A213C">
        <w:rPr>
          <w:rFonts w:cs="Arial"/>
          <w:szCs w:val="13"/>
          <w:u w:val="single"/>
        </w:rPr>
        <w:t>Renumerado pela Resolução nº 87, de 15 de setembro de 2009</w:t>
      </w:r>
      <w:proofErr w:type="gramStart"/>
      <w:r w:rsidRPr="009A213C">
        <w:rPr>
          <w:rFonts w:cs="Arial"/>
          <w:szCs w:val="13"/>
        </w:rPr>
        <w:t>)</w:t>
      </w:r>
      <w:proofErr w:type="gramEnd"/>
      <w:r w:rsidRPr="009A213C">
        <w:rPr>
          <w:rFonts w:cs="Arial"/>
          <w:szCs w:val="13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  <w:u w:val="single"/>
        </w:rPr>
      </w:pPr>
      <w:r w:rsidRPr="009A213C">
        <w:rPr>
          <w:rFonts w:cs="Arial"/>
          <w:szCs w:val="13"/>
        </w:rPr>
        <w:t>Art. 8º Os relatórios referidos nos artigos 2º e 4º deverão permanecer disponíveis para a Corregedoria Nacional de Justiça, sempre que solicitados. (</w:t>
      </w:r>
      <w:r w:rsidRPr="009A213C">
        <w:rPr>
          <w:rFonts w:cs="Arial"/>
          <w:szCs w:val="13"/>
          <w:u w:val="single"/>
        </w:rPr>
        <w:t>Renumerado pela Resolução nº 87, de 15 de setembro de 2009</w:t>
      </w:r>
      <w:proofErr w:type="gramStart"/>
      <w:r w:rsidRPr="009A213C">
        <w:rPr>
          <w:rFonts w:cs="Arial"/>
          <w:szCs w:val="13"/>
          <w:u w:val="single"/>
        </w:rPr>
        <w:t>)</w:t>
      </w:r>
      <w:proofErr w:type="gramEnd"/>
      <w:r w:rsidRPr="009A213C">
        <w:rPr>
          <w:rFonts w:cs="Arial"/>
          <w:szCs w:val="13"/>
          <w:u w:val="single"/>
        </w:rPr>
        <w:t xml:space="preserve"> </w:t>
      </w:r>
    </w:p>
    <w:p w:rsidR="00EE47AF" w:rsidRPr="009A213C" w:rsidRDefault="00EE47AF" w:rsidP="00EE47AF">
      <w:pPr>
        <w:rPr>
          <w:rFonts w:cs="Arial"/>
          <w:szCs w:val="13"/>
        </w:rPr>
      </w:pPr>
      <w:r w:rsidRPr="009A213C">
        <w:rPr>
          <w:rFonts w:cs="Arial"/>
          <w:szCs w:val="13"/>
        </w:rPr>
        <w:t xml:space="preserve">Art. 9º Esta resolução entra em vigor na data de sua publicação. </w:t>
      </w:r>
    </w:p>
    <w:p w:rsidR="00EE47AF" w:rsidRDefault="00EE47AF" w:rsidP="00EE47AF">
      <w:pPr>
        <w:jc w:val="center"/>
        <w:rPr>
          <w:rFonts w:cs="Arial"/>
          <w:b/>
          <w:szCs w:val="13"/>
        </w:rPr>
      </w:pPr>
      <w:r w:rsidRPr="009A213C">
        <w:rPr>
          <w:rFonts w:cs="Arial"/>
          <w:b/>
          <w:szCs w:val="13"/>
        </w:rPr>
        <w:t>Ministro GILMAR MENDES</w:t>
      </w:r>
    </w:p>
    <w:p w:rsidR="00EE47AF" w:rsidRPr="009A213C" w:rsidRDefault="00EE47AF" w:rsidP="00EE47AF">
      <w:pPr>
        <w:jc w:val="center"/>
        <w:rPr>
          <w:rFonts w:cs="Arial"/>
          <w:b/>
          <w:szCs w:val="13"/>
        </w:rPr>
      </w:pPr>
      <w:bookmarkStart w:id="0" w:name="_GoBack"/>
      <w:bookmarkEnd w:id="0"/>
    </w:p>
    <w:p w:rsidR="00EE47AF" w:rsidRPr="009A213C" w:rsidRDefault="00EE47AF" w:rsidP="00EE47AF">
      <w:pPr>
        <w:jc w:val="center"/>
        <w:rPr>
          <w:rFonts w:cs="Arial"/>
          <w:b/>
          <w:szCs w:val="13"/>
        </w:rPr>
      </w:pPr>
      <w:r w:rsidRPr="009A213C">
        <w:rPr>
          <w:rFonts w:cs="Arial"/>
          <w:b/>
          <w:bCs/>
          <w:szCs w:val="20"/>
        </w:rPr>
        <w:t>Este texto não substitui a publicação original</w:t>
      </w:r>
    </w:p>
    <w:p w:rsidR="00ED7BFA" w:rsidRDefault="00ED7BFA"/>
    <w:sectPr w:rsidR="00ED7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AF"/>
    <w:rsid w:val="00ED7BFA"/>
    <w:rsid w:val="00E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A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A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1493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 Vianna Soares</dc:creator>
  <cp:lastModifiedBy>Tamires Vianna Soares</cp:lastModifiedBy>
  <cp:revision>1</cp:revision>
  <dcterms:created xsi:type="dcterms:W3CDTF">2014-01-14T15:56:00Z</dcterms:created>
  <dcterms:modified xsi:type="dcterms:W3CDTF">2014-01-14T15:57:00Z</dcterms:modified>
</cp:coreProperties>
</file>